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0" w:after="1000" w:line="56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证券代码：000881                证券简称：中广核技                公告编号：</w:t>
      </w:r>
      <w:r>
        <w:rPr>
          <w:rFonts w:hint="default" w:ascii="Times New Roman" w:hAnsi="Times New Roman" w:eastAsia="宋体" w:cs="Times New Roman"/>
          <w:sz w:val="21"/>
          <w:szCs w:val="21"/>
          <w:lang w:val="en-US" w:eastAsia="zh-CN"/>
        </w:rPr>
        <w:t>2025-019</w:t>
      </w:r>
    </w:p>
    <w:p>
      <w:pPr>
        <w:spacing w:before="0" w:after="1000" w:line="400" w:lineRule="exact"/>
        <w:jc w:val="center"/>
        <w:rPr>
          <w:rFonts w:ascii="宋体" w:hAnsi="宋体" w:eastAsia="宋体" w:cs="宋体"/>
          <w:b/>
          <w:bCs/>
          <w:sz w:val="36"/>
          <w:szCs w:val="36"/>
        </w:rPr>
      </w:pPr>
      <w:r>
        <w:rPr>
          <w:rFonts w:ascii="宋体" w:hAnsi="宋体" w:eastAsia="宋体" w:cs="宋体"/>
          <w:b/>
          <w:bCs/>
          <w:sz w:val="36"/>
          <w:szCs w:val="36"/>
        </w:rPr>
        <w:t>中广核核技术发展股份有限公司2024年年度报告摘要</w:t>
      </w:r>
    </w:p>
    <w:p>
      <w:pPr>
        <w:keepNext/>
        <w:keepLines/>
        <w:spacing w:before="300" w:after="300" w:line="320" w:lineRule="exact"/>
        <w:jc w:val="left"/>
        <w:outlineLvl w:val="1"/>
        <w:rPr>
          <w:rFonts w:ascii="宋体" w:hAnsi="宋体" w:eastAsia="宋体" w:cs="宋体"/>
          <w:b/>
          <w:bCs/>
          <w:sz w:val="24"/>
          <w:szCs w:val="24"/>
        </w:rPr>
      </w:pPr>
      <w:bookmarkStart w:id="0" w:name="_Toc988889"/>
      <w:r>
        <w:rPr>
          <w:rFonts w:ascii="宋体" w:hAnsi="宋体" w:eastAsia="宋体" w:cs="宋体"/>
          <w:b/>
          <w:bCs/>
          <w:sz w:val="24"/>
          <w:szCs w:val="24"/>
        </w:rPr>
        <w:t>一、重要提示</w:t>
      </w:r>
      <w:bookmarkEnd w:id="0"/>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本年度报告摘要来自年度报告全文，为全面了解本公司的经营成果、财务状况及未来发展规划，投资者应当到证监会指定媒体仔细阅读年度报告全文。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所有董事均已出席了审议本报告的董事会会议。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非标准审计意见提示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□适用 </w:t>
      </w:r>
      <w:r>
        <w:rPr>
          <w:rFonts w:hint="eastAsia" w:ascii="宋体" w:hAnsi="宋体" w:eastAsia="宋体" w:cs="宋体"/>
          <w:sz w:val="21"/>
          <w:szCs w:val="21"/>
        </w:rPr>
        <w:sym w:font="Wingdings 2" w:char="F052"/>
      </w:r>
      <w:r>
        <w:rPr>
          <w:rFonts w:hint="eastAsia" w:ascii="宋体" w:hAnsi="宋体" w:eastAsia="宋体" w:cs="宋体"/>
          <w:sz w:val="21"/>
          <w:szCs w:val="21"/>
        </w:rPr>
        <w:t>不适用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董事会审议的报告期利润分配预案或公积金转增股本预案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□适用 </w:t>
      </w:r>
      <w:r>
        <w:rPr>
          <w:rFonts w:hint="eastAsia" w:ascii="宋体" w:hAnsi="宋体" w:eastAsia="宋体" w:cs="宋体"/>
          <w:sz w:val="21"/>
          <w:szCs w:val="21"/>
        </w:rPr>
        <w:sym w:font="Wingdings 2" w:char="F052"/>
      </w:r>
      <w:r>
        <w:rPr>
          <w:rFonts w:hint="eastAsia" w:ascii="宋体" w:hAnsi="宋体" w:eastAsia="宋体" w:cs="宋体"/>
          <w:sz w:val="21"/>
          <w:szCs w:val="21"/>
        </w:rPr>
        <w:t>不适用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公司计划不派发现金红利，不送红股，不以公积金转增股本。</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董事会决议通过的本报告期优先股利润分配预案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□适用 </w:t>
      </w:r>
      <w:r>
        <w:rPr>
          <w:rFonts w:hint="eastAsia" w:ascii="宋体" w:hAnsi="宋体" w:eastAsia="宋体" w:cs="宋体"/>
          <w:sz w:val="21"/>
          <w:szCs w:val="21"/>
        </w:rPr>
        <w:sym w:font="Wingdings 2" w:char="0052"/>
      </w:r>
      <w:r>
        <w:rPr>
          <w:rFonts w:hint="eastAsia" w:ascii="宋体" w:hAnsi="宋体" w:eastAsia="宋体" w:cs="宋体"/>
          <w:sz w:val="21"/>
          <w:szCs w:val="21"/>
        </w:rPr>
        <w:t>不适用</w:t>
      </w:r>
    </w:p>
    <w:p>
      <w:pPr>
        <w:keepNext/>
        <w:keepLines/>
        <w:spacing w:before="300" w:after="300" w:line="320" w:lineRule="exact"/>
        <w:jc w:val="left"/>
        <w:outlineLvl w:val="1"/>
        <w:rPr>
          <w:rFonts w:ascii="宋体" w:hAnsi="宋体" w:eastAsia="宋体" w:cs="宋体"/>
          <w:b/>
          <w:bCs/>
          <w:sz w:val="24"/>
          <w:szCs w:val="24"/>
        </w:rPr>
      </w:pPr>
      <w:bookmarkStart w:id="1" w:name="_Toc988890"/>
      <w:r>
        <w:rPr>
          <w:rFonts w:ascii="宋体" w:hAnsi="宋体" w:eastAsia="宋体" w:cs="宋体"/>
          <w:b/>
          <w:bCs/>
          <w:sz w:val="24"/>
          <w:szCs w:val="24"/>
        </w:rPr>
        <w:t>二、公司基本情况</w:t>
      </w:r>
      <w:bookmarkEnd w:id="1"/>
    </w:p>
    <w:p>
      <w:pPr>
        <w:keepNext/>
        <w:keepLines/>
        <w:spacing w:before="300" w:after="300" w:line="280" w:lineRule="exact"/>
        <w:jc w:val="left"/>
        <w:outlineLvl w:val="2"/>
        <w:rPr>
          <w:rFonts w:ascii="宋体" w:hAnsi="宋体" w:eastAsia="宋体" w:cs="宋体"/>
          <w:b/>
          <w:bCs/>
          <w:sz w:val="21"/>
          <w:szCs w:val="21"/>
        </w:rPr>
      </w:pPr>
      <w:bookmarkStart w:id="2" w:name="_Toc988891"/>
      <w:r>
        <w:rPr>
          <w:rFonts w:ascii="宋体" w:hAnsi="宋体" w:eastAsia="宋体" w:cs="宋体"/>
          <w:b/>
          <w:bCs/>
          <w:sz w:val="21"/>
          <w:szCs w:val="21"/>
        </w:rPr>
        <w:t>1、公司简介</w:t>
      </w:r>
      <w:bookmarkEnd w:id="2"/>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00"/>
        <w:gridCol w:w="1480"/>
        <w:gridCol w:w="740"/>
        <w:gridCol w:w="740"/>
        <w:gridCol w:w="14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5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21"/>
                <w:szCs w:val="21"/>
              </w:rPr>
            </w:pPr>
            <w:r>
              <w:rPr>
                <w:rFonts w:ascii="宋体" w:hAnsi="宋体" w:eastAsia="宋体" w:cs="宋体"/>
                <w:sz w:val="21"/>
                <w:szCs w:val="21"/>
              </w:rPr>
              <w:t>股票简称</w:t>
            </w:r>
          </w:p>
        </w:tc>
        <w:tc>
          <w:tcPr>
            <w:tcW w:w="14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中广核技</w:t>
            </w:r>
          </w:p>
        </w:tc>
        <w:tc>
          <w:tcPr>
            <w:tcW w:w="148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21"/>
                <w:szCs w:val="21"/>
              </w:rPr>
            </w:pPr>
            <w:r>
              <w:rPr>
                <w:rFonts w:ascii="宋体" w:hAnsi="宋体" w:eastAsia="宋体" w:cs="宋体"/>
                <w:sz w:val="21"/>
                <w:szCs w:val="21"/>
              </w:rPr>
              <w:t>股票代码</w:t>
            </w:r>
          </w:p>
        </w:tc>
        <w:tc>
          <w:tcPr>
            <w:tcW w:w="148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000881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5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21"/>
                <w:szCs w:val="21"/>
              </w:rPr>
            </w:pPr>
            <w:r>
              <w:rPr>
                <w:rFonts w:ascii="宋体" w:hAnsi="宋体" w:eastAsia="宋体" w:cs="宋体"/>
                <w:sz w:val="21"/>
                <w:szCs w:val="21"/>
              </w:rPr>
              <w:t>股票上市交易所</w:t>
            </w:r>
          </w:p>
        </w:tc>
        <w:tc>
          <w:tcPr>
            <w:tcW w:w="4439" w:type="dxa"/>
            <w:gridSpan w:val="4"/>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5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21"/>
                <w:szCs w:val="21"/>
              </w:rPr>
            </w:pPr>
            <w:r>
              <w:rPr>
                <w:rFonts w:ascii="宋体" w:hAnsi="宋体" w:eastAsia="宋体" w:cs="宋体"/>
                <w:sz w:val="21"/>
                <w:szCs w:val="21"/>
              </w:rPr>
              <w:t>联系人和联系方式</w:t>
            </w:r>
          </w:p>
        </w:tc>
        <w:tc>
          <w:tcPr>
            <w:tcW w:w="222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21"/>
                <w:szCs w:val="21"/>
              </w:rPr>
            </w:pPr>
            <w:r>
              <w:rPr>
                <w:rFonts w:ascii="宋体" w:hAnsi="宋体" w:eastAsia="宋体" w:cs="宋体"/>
                <w:sz w:val="21"/>
                <w:szCs w:val="21"/>
              </w:rPr>
              <w:t>董事会秘书</w:t>
            </w:r>
          </w:p>
        </w:tc>
        <w:tc>
          <w:tcPr>
            <w:tcW w:w="222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21"/>
                <w:szCs w:val="21"/>
              </w:rPr>
            </w:pPr>
            <w:r>
              <w:rPr>
                <w:rFonts w:ascii="宋体" w:hAnsi="宋体" w:eastAsia="宋体" w:cs="宋体"/>
                <w:sz w:val="21"/>
                <w:szCs w:val="21"/>
              </w:rPr>
              <w:t>证券事务代表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5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21"/>
                <w:szCs w:val="21"/>
              </w:rPr>
            </w:pPr>
            <w:r>
              <w:rPr>
                <w:rFonts w:ascii="宋体" w:hAnsi="宋体" w:eastAsia="宋体" w:cs="宋体"/>
                <w:sz w:val="21"/>
                <w:szCs w:val="21"/>
              </w:rPr>
              <w:t>姓名</w:t>
            </w:r>
          </w:p>
        </w:tc>
        <w:tc>
          <w:tcPr>
            <w:tcW w:w="222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杨新春</w:t>
            </w:r>
          </w:p>
        </w:tc>
        <w:tc>
          <w:tcPr>
            <w:tcW w:w="222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吴卫卫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5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21"/>
                <w:szCs w:val="21"/>
              </w:rPr>
            </w:pPr>
            <w:r>
              <w:rPr>
                <w:rFonts w:ascii="宋体" w:hAnsi="宋体" w:eastAsia="宋体" w:cs="宋体"/>
                <w:sz w:val="21"/>
                <w:szCs w:val="21"/>
              </w:rPr>
              <w:t>办公地址</w:t>
            </w:r>
          </w:p>
        </w:tc>
        <w:tc>
          <w:tcPr>
            <w:tcW w:w="222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深圳市福田区深南大道2002号中广核大厦北楼19层</w:t>
            </w:r>
          </w:p>
        </w:tc>
        <w:tc>
          <w:tcPr>
            <w:tcW w:w="222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深圳市福田区深南大道2002号中广核大厦北楼19层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5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21"/>
                <w:szCs w:val="21"/>
              </w:rPr>
            </w:pPr>
            <w:r>
              <w:rPr>
                <w:rFonts w:ascii="宋体" w:hAnsi="宋体" w:eastAsia="宋体" w:cs="宋体"/>
                <w:sz w:val="21"/>
                <w:szCs w:val="21"/>
              </w:rPr>
              <w:t>传真</w:t>
            </w:r>
          </w:p>
        </w:tc>
        <w:tc>
          <w:tcPr>
            <w:tcW w:w="222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0755-84434946-619331</w:t>
            </w:r>
          </w:p>
        </w:tc>
        <w:tc>
          <w:tcPr>
            <w:tcW w:w="222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0755-84434946-619331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5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21"/>
                <w:szCs w:val="21"/>
              </w:rPr>
            </w:pPr>
            <w:r>
              <w:rPr>
                <w:rFonts w:ascii="宋体" w:hAnsi="宋体" w:eastAsia="宋体" w:cs="宋体"/>
                <w:sz w:val="21"/>
                <w:szCs w:val="21"/>
              </w:rPr>
              <w:t>电话</w:t>
            </w:r>
          </w:p>
        </w:tc>
        <w:tc>
          <w:tcPr>
            <w:tcW w:w="222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0755-88619309</w:t>
            </w:r>
          </w:p>
        </w:tc>
        <w:tc>
          <w:tcPr>
            <w:tcW w:w="222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0755-88619309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5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21"/>
                <w:szCs w:val="21"/>
              </w:rPr>
            </w:pPr>
            <w:r>
              <w:rPr>
                <w:rFonts w:ascii="宋体" w:hAnsi="宋体" w:eastAsia="宋体" w:cs="宋体"/>
                <w:sz w:val="21"/>
                <w:szCs w:val="21"/>
              </w:rPr>
              <w:t>电子信箱</w:t>
            </w:r>
          </w:p>
        </w:tc>
        <w:tc>
          <w:tcPr>
            <w:tcW w:w="222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yangxinchun@cgnpc.com.cn</w:t>
            </w:r>
          </w:p>
        </w:tc>
        <w:tc>
          <w:tcPr>
            <w:tcW w:w="2220"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21"/>
                <w:szCs w:val="21"/>
              </w:rPr>
            </w:pPr>
            <w:r>
              <w:rPr>
                <w:rFonts w:ascii="宋体" w:hAnsi="宋体" w:eastAsia="宋体" w:cs="宋体"/>
                <w:sz w:val="21"/>
                <w:szCs w:val="21"/>
              </w:rPr>
              <w:t>wuweiwei@cgnpc.com.cn</w:t>
            </w:r>
          </w:p>
        </w:tc>
      </w:tr>
    </w:tbl>
    <w:p>
      <w:pPr>
        <w:keepNext/>
        <w:keepLines/>
        <w:spacing w:before="300" w:after="300" w:line="280" w:lineRule="exact"/>
        <w:jc w:val="left"/>
        <w:outlineLvl w:val="2"/>
        <w:rPr>
          <w:rFonts w:ascii="宋体" w:hAnsi="宋体" w:eastAsia="宋体" w:cs="宋体"/>
          <w:b/>
          <w:bCs/>
          <w:sz w:val="21"/>
          <w:szCs w:val="21"/>
        </w:rPr>
      </w:pPr>
      <w:bookmarkStart w:id="3" w:name="_Toc988892"/>
      <w:r>
        <w:rPr>
          <w:rFonts w:ascii="宋体" w:hAnsi="宋体" w:eastAsia="宋体" w:cs="宋体"/>
          <w:b/>
          <w:bCs/>
          <w:sz w:val="21"/>
          <w:szCs w:val="21"/>
        </w:rPr>
        <w:t>2、报告期主要业务或产品简介</w:t>
      </w:r>
      <w:bookmarkEnd w:id="3"/>
    </w:p>
    <w:p>
      <w:pPr>
        <w:pStyle w:val="4"/>
        <w:keepNext w:val="0"/>
        <w:keepLines w:val="0"/>
        <w:widowControl/>
        <w:suppressLineNumbers w:val="0"/>
        <w:spacing w:before="156" w:beforeAutospacing="0" w:after="156"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color w:val="000000"/>
          <w:sz w:val="21"/>
          <w:szCs w:val="21"/>
        </w:rPr>
        <w:t>公司主要开展电子加速器研发与制造、辐照加工服务、电子束处理特种废物、新材料研发与制造以及医疗健康业务。</w:t>
      </w:r>
    </w:p>
    <w:p>
      <w:pPr>
        <w:pStyle w:val="4"/>
        <w:keepNext w:val="0"/>
        <w:keepLines w:val="0"/>
        <w:widowControl/>
        <w:suppressLineNumbers w:val="0"/>
        <w:spacing w:before="156" w:beforeAutospacing="0" w:after="156" w:afterAutospacing="0" w:line="36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加速器领域，公司是国际辐照联合会(IIA)的会员单位，也是国家原子能机构核技术（电子束技术环境应用）研发中心；公司目前拥有4个电子加速器生产基地，电子加速器设计产能达到90台/年，是国内最大的电子加速器研发制造企业之一，同时也是国内电子加速器细分领域内唯一一家制造业单项冠军企业。公司的产品覆盖低、中、高能区，也是国内拥有电子加速器类型、结构形式、型号较全的公司，实现了电子加速器在辐照加工、材料改性、消毒灭菌、核农学、核环保以及无损检测等领域的应用，产品远销土耳其、韩国、泰国、越南、柬埔寨、孟加拉、波兰等15个国家。</w:t>
      </w:r>
    </w:p>
    <w:p>
      <w:pPr>
        <w:pStyle w:val="4"/>
        <w:keepNext w:val="0"/>
        <w:keepLines w:val="0"/>
        <w:widowControl/>
        <w:suppressLineNumbers w:val="0"/>
        <w:spacing w:before="156" w:beforeAutospacing="0" w:after="156" w:afterAutospacing="0" w:line="36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辐照业务领域，公司在国内拥有辐照中心18座，在运电子加速器62台，总功率超过5,160千瓦；在业务布局上，公司以长三角、珠三角地区为中心，向周边地区拓展，形成了华南、华中、华东、华北、西南等区域运营中心布局，完成了业务战略卡位，为公司辐照加工业务的后续稳定发展打下坚实基础。</w:t>
      </w:r>
    </w:p>
    <w:p>
      <w:pPr>
        <w:pStyle w:val="4"/>
        <w:keepNext w:val="0"/>
        <w:keepLines w:val="0"/>
        <w:widowControl/>
        <w:suppressLineNumbers w:val="0"/>
        <w:spacing w:before="156" w:beforeAutospacing="0" w:after="156" w:afterAutospacing="0" w:line="36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新材料领域，公司深耕改性材料行业三十多年，品牌影响力较强，在线缆料领域稳居行业前三位，其中光通信材料居国内龙头地位，汽车密封条、建筑用防水卷材料、航天航空用线缆料等材料处于国内领先水平；同时是中国工业电器用高性能尼龙等系列材料的重要供应商，中高端车用改性塑料主流供应商，行业内细分领域传统产品市场占有率较高；传统产品技术优势领先，如低压电器、LED照明材料等，在辐照交联尼龙产品领域则填补了国内空白。</w:t>
      </w:r>
    </w:p>
    <w:p>
      <w:pPr>
        <w:pStyle w:val="4"/>
        <w:keepNext w:val="0"/>
        <w:keepLines w:val="0"/>
        <w:widowControl/>
        <w:suppressLineNumbers w:val="0"/>
        <w:spacing w:before="156" w:beforeAutospacing="0" w:after="156" w:afterAutospacing="0" w:line="360" w:lineRule="auto"/>
        <w:ind w:left="0" w:right="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医疗健康领域，公司进军核技术应用高端医学领域，引进全球先进的质子治疗肿瘤技术，致力于实现国内高端医疗装备的自主可控，并布局中能回旋加速器生产医用同位素项目。下属企业医疗科技公司入选国务院国资委首批启航企业，公司质子治疗系统被纳入工信部《首台套目录（2024版）》，华西项目获得国家药监局前置审评重点项目，国家有关政策的大力支持为公司后续开展生产交付、市场开拓和注册工作奠定基础。</w:t>
      </w:r>
    </w:p>
    <w:p>
      <w:pPr>
        <w:keepNext/>
        <w:keepLines/>
        <w:spacing w:before="300" w:after="300" w:line="280" w:lineRule="exact"/>
        <w:jc w:val="left"/>
        <w:outlineLvl w:val="2"/>
        <w:rPr>
          <w:rFonts w:ascii="宋体" w:hAnsi="宋体" w:eastAsia="宋体" w:cs="宋体"/>
          <w:b/>
          <w:bCs/>
          <w:sz w:val="21"/>
          <w:szCs w:val="21"/>
        </w:rPr>
      </w:pPr>
      <w:bookmarkStart w:id="4" w:name="_Toc988893"/>
      <w:r>
        <w:rPr>
          <w:rFonts w:ascii="宋体" w:hAnsi="宋体" w:eastAsia="宋体" w:cs="宋体"/>
          <w:b/>
          <w:bCs/>
          <w:sz w:val="21"/>
          <w:szCs w:val="21"/>
        </w:rPr>
        <w:t>3、主要会计数据和财务指标</w:t>
      </w:r>
      <w:bookmarkEnd w:id="4"/>
    </w:p>
    <w:p>
      <w:pPr>
        <w:keepNext/>
        <w:keepLines/>
        <w:spacing w:before="300" w:after="300" w:line="280" w:lineRule="exact"/>
        <w:jc w:val="left"/>
        <w:outlineLvl w:val="3"/>
        <w:rPr>
          <w:rFonts w:ascii="宋体" w:hAnsi="宋体" w:eastAsia="宋体" w:cs="宋体"/>
          <w:b/>
          <w:bCs/>
          <w:sz w:val="18"/>
          <w:szCs w:val="18"/>
        </w:rPr>
      </w:pPr>
      <w:bookmarkStart w:id="5" w:name="_Toc988894"/>
      <w:r>
        <w:rPr>
          <w:rFonts w:ascii="宋体" w:hAnsi="宋体" w:eastAsia="宋体" w:cs="宋体"/>
          <w:b/>
          <w:bCs/>
          <w:sz w:val="18"/>
          <w:szCs w:val="18"/>
        </w:rPr>
        <w:t>（1） 近三年主要会计数据和财务指标</w:t>
      </w:r>
      <w:bookmarkEnd w:id="5"/>
    </w:p>
    <w:p>
      <w:pPr>
        <w:spacing w:before="100" w:after="100" w:line="240" w:lineRule="exact"/>
        <w:jc w:val="left"/>
        <w:rPr>
          <w:rFonts w:ascii="宋体" w:hAnsi="宋体" w:eastAsia="宋体" w:cs="宋体"/>
          <w:sz w:val="21"/>
          <w:szCs w:val="21"/>
        </w:rPr>
      </w:pPr>
      <w:r>
        <w:rPr>
          <w:rFonts w:ascii="宋体" w:hAnsi="宋体" w:eastAsia="宋体" w:cs="宋体"/>
          <w:sz w:val="21"/>
          <w:szCs w:val="21"/>
        </w:rPr>
        <w:t>公司是否需追溯调整或重述以前年度会计数据</w:t>
      </w:r>
    </w:p>
    <w:p>
      <w:pPr>
        <w:spacing w:before="100" w:after="100" w:line="240" w:lineRule="exact"/>
        <w:jc w:val="left"/>
        <w:rPr>
          <w:rFonts w:ascii="宋体" w:hAnsi="宋体" w:eastAsia="宋体" w:cs="宋体"/>
          <w:sz w:val="21"/>
          <w:szCs w:val="21"/>
        </w:rPr>
      </w:pPr>
      <w:r>
        <w:rPr>
          <w:rFonts w:ascii="宋体" w:hAnsi="宋体" w:eastAsia="宋体" w:cs="宋体"/>
          <w:sz w:val="21"/>
          <w:szCs w:val="21"/>
        </w:rPr>
        <w:sym w:font="Wingdings 2" w:char="F052"/>
      </w:r>
      <w:r>
        <w:rPr>
          <w:rFonts w:ascii="宋体" w:hAnsi="宋体" w:eastAsia="宋体" w:cs="宋体"/>
          <w:sz w:val="21"/>
          <w:szCs w:val="21"/>
        </w:rPr>
        <w:t>是 □否</w:t>
      </w:r>
    </w:p>
    <w:p>
      <w:pPr>
        <w:spacing w:before="100" w:after="100" w:line="240" w:lineRule="exact"/>
        <w:jc w:val="left"/>
        <w:rPr>
          <w:rFonts w:ascii="宋体" w:hAnsi="宋体" w:eastAsia="宋体" w:cs="宋体"/>
          <w:sz w:val="21"/>
          <w:szCs w:val="21"/>
        </w:rPr>
      </w:pPr>
      <w:r>
        <w:rPr>
          <w:rFonts w:ascii="宋体" w:hAnsi="宋体" w:eastAsia="宋体" w:cs="宋体"/>
          <w:sz w:val="21"/>
          <w:szCs w:val="21"/>
        </w:rPr>
        <w:t>追溯调整或重述原因</w:t>
      </w:r>
    </w:p>
    <w:p>
      <w:pPr>
        <w:spacing w:before="0" w:after="0" w:line="240" w:lineRule="exact"/>
        <w:jc w:val="left"/>
        <w:rPr>
          <w:rFonts w:ascii="宋体" w:hAnsi="宋体" w:eastAsia="宋体" w:cs="宋体"/>
          <w:sz w:val="21"/>
          <w:szCs w:val="21"/>
        </w:rPr>
      </w:pPr>
      <w:r>
        <w:rPr>
          <w:rFonts w:ascii="宋体" w:hAnsi="宋体" w:eastAsia="宋体" w:cs="宋体"/>
          <w:sz w:val="21"/>
          <w:szCs w:val="21"/>
        </w:rPr>
        <w:t>会计政策变更</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2024年</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2023年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本年比上年增减</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2022年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调整前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调整后</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调整后</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调整前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营业收入（元）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6,168,400,578.93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6,352,518,944.55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6,352,518,944.55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6,944,907,174.49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6,944,907,174.49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归属于上市公司股东的净利润（元）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-362,167,598.09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-737,163,932.18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-737,163,932.18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198,751,228.01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199,594,590.44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bookmarkStart w:id="6" w:name="OLE_LINK1" w:colFirst="1" w:colLast="4"/>
            <w:r>
              <w:rPr>
                <w:rFonts w:hint="default" w:ascii="Times New Roman" w:hAnsi="Times New Roman" w:eastAsia="宋体" w:cs="Times New Roman"/>
                <w:sz w:val="21"/>
                <w:szCs w:val="21"/>
              </w:rPr>
              <w:t>归属于上市公司股东的扣除非经常性损益的净利润（元）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szCs w:val="21"/>
                <w:lang w:val="en-US" w:eastAsia="zh-CN"/>
              </w:rPr>
              <w:t xml:space="preserve"> -512,783,647.70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-960,642,520.82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-960,642,520.82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46.</w:t>
            </w:r>
            <w:r>
              <w:rPr>
                <w:rFonts w:hint="eastAsia" w:cs="Times New Roman"/>
                <w:color w:val="auto"/>
                <w:sz w:val="21"/>
                <w:szCs w:val="21"/>
                <w:lang w:val="en-US" w:eastAsia="zh-CN"/>
              </w:rPr>
              <w:t>62</w:t>
            </w:r>
            <w:r>
              <w:rPr>
                <w:rFonts w:hint="default" w:ascii="Times New Roman" w:hAnsi="Times New Roman" w:eastAsia="宋体" w:cs="Times New Roman"/>
                <w:color w:val="auto"/>
                <w:sz w:val="21"/>
                <w:szCs w:val="21"/>
              </w:rPr>
              <w:t>%</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-67,036,499.95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-66,193,137.52</w:t>
            </w:r>
          </w:p>
        </w:tc>
      </w:tr>
      <w:bookmarkEnd w:id="6"/>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经营活动产生的现金流量净额（元）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szCs w:val="21"/>
              </w:rPr>
              <w:t>456,344,040.26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371,271,537.71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371,271,537.71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szCs w:val="21"/>
              </w:rPr>
              <w:t>22.91%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563,624,947.09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563,624,947.09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基本每股收益（元/股）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-0.3831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-0.7797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-0.7797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0.2102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稀释每股收益（元/股）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-0.3831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-0.7797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-0.7797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0.2102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加权平均净资产收益率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eastAsia" w:cs="Times New Roman"/>
                <w:sz w:val="21"/>
                <w:szCs w:val="21"/>
                <w:lang w:val="en-US" w:eastAsia="zh-CN"/>
              </w:rPr>
              <w:t>增加</w:t>
            </w:r>
            <w:r>
              <w:rPr>
                <w:rFonts w:hint="default" w:ascii="Times New Roman" w:hAnsi="Times New Roman" w:eastAsia="宋体" w:cs="Times New Roman"/>
                <w:sz w:val="21"/>
                <w:szCs w:val="21"/>
              </w:rPr>
              <w:t>5.68</w:t>
            </w:r>
            <w:r>
              <w:rPr>
                <w:rFonts w:hint="eastAsia" w:cs="Times New Roman"/>
                <w:sz w:val="21"/>
                <w:szCs w:val="21"/>
                <w:lang w:val="en-US" w:eastAsia="zh-CN"/>
              </w:rPr>
              <w:t>个百分点</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2024年末</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2023年末</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本年末比上年末增减</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2022年末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调整前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调整后</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调整后</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调整前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总资产（元）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10,702,263,483.90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11,283,404,643.67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11,283,404,643.67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11,972,423,061.82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11,973,525,337.64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归属于上市公司股东的净资产（元）</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5,230,122,212.51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5,586,012,022.44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5,586,012,022.44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6,326,079,639.87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6,326,640,250.36</w:t>
            </w:r>
          </w:p>
        </w:tc>
      </w:tr>
    </w:tbl>
    <w:p>
      <w:pPr>
        <w:spacing w:before="0" w:after="0" w:line="360" w:lineRule="auto"/>
        <w:jc w:val="lef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会计政策变更的原因及会计差错更正的情况</w:t>
      </w:r>
    </w:p>
    <w:p>
      <w:pPr>
        <w:pStyle w:val="4"/>
        <w:keepNext w:val="0"/>
        <w:keepLines w:val="0"/>
        <w:widowControl/>
        <w:suppressLineNumbers w:val="0"/>
        <w:spacing w:before="0" w:beforeAutospacing="0" w:after="0" w:afterAutospacing="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2022年11月30日，财政部发布了《企业会计准则解释第16号》（财会[2022]31号，以下简称解释16号），其中</w:t>
      </w:r>
      <w:r>
        <w:rPr>
          <w:rFonts w:hint="eastAsia" w:ascii="宋体" w:hAnsi="宋体" w:eastAsia="宋体" w:cs="宋体"/>
          <w:sz w:val="21"/>
          <w:szCs w:val="21"/>
        </w:rPr>
        <w:t>“关于单项交易产生的资产和负债相关的递延所得税不适用初始确认豁免的会计处理”</w:t>
      </w:r>
      <w:r>
        <w:rPr>
          <w:rFonts w:hint="default" w:ascii="Times New Roman" w:hAnsi="Times New Roman" w:eastAsia="宋体" w:cs="Times New Roman"/>
          <w:sz w:val="21"/>
          <w:szCs w:val="21"/>
        </w:rPr>
        <w:t>，内容自2023年1月1日起施行。本公司于2023年1月1日</w:t>
      </w:r>
      <w:r>
        <w:rPr>
          <w:rFonts w:hint="eastAsia" w:cs="Times New Roman"/>
          <w:sz w:val="21"/>
          <w:szCs w:val="21"/>
          <w:lang w:val="en-US" w:eastAsia="zh-CN"/>
        </w:rPr>
        <w:t>起</w:t>
      </w:r>
      <w:r>
        <w:rPr>
          <w:rFonts w:hint="default" w:ascii="Times New Roman" w:hAnsi="Times New Roman" w:eastAsia="宋体" w:cs="Times New Roman"/>
          <w:sz w:val="21"/>
          <w:szCs w:val="21"/>
        </w:rPr>
        <w:t>执行解释16号的该项规定，对于在首次施行解释16号的财务报表列报最早期间的期初（即2022年1月1日）至2023年1月1日之间发生的适用解释16号的单项交易，本公司按照解释16号的规定进行调整。</w:t>
      </w:r>
    </w:p>
    <w:p>
      <w:pPr>
        <w:keepNext/>
        <w:keepLines/>
        <w:spacing w:before="300" w:after="300" w:line="280" w:lineRule="exact"/>
        <w:jc w:val="left"/>
        <w:outlineLvl w:val="3"/>
        <w:rPr>
          <w:rFonts w:ascii="宋体" w:hAnsi="宋体" w:eastAsia="宋体" w:cs="宋体"/>
          <w:b/>
          <w:bCs/>
          <w:sz w:val="21"/>
          <w:szCs w:val="21"/>
        </w:rPr>
      </w:pPr>
      <w:bookmarkStart w:id="7" w:name="_Toc988895"/>
      <w:r>
        <w:rPr>
          <w:rFonts w:ascii="宋体" w:hAnsi="宋体" w:eastAsia="宋体" w:cs="宋体"/>
          <w:b/>
          <w:bCs/>
          <w:sz w:val="21"/>
          <w:szCs w:val="21"/>
        </w:rPr>
        <w:t>（2） 分季度主要会计数据</w:t>
      </w:r>
      <w:bookmarkEnd w:id="7"/>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第一季度</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第二季度</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第三季度</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第四季度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营业收入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1,309,795,211.41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1,517,823,313.40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1,630,012,474.04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1,710,769,580.08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归属于上市公司股东的净利润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-65,181,223.29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-21,396,599.66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-47,785,770.82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-227,804,004.32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归属于上市公司股东的扣除非经常性损益的净利润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-75,055,744.65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-56,415,090.88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-81,429,034.85</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 </w:t>
            </w:r>
            <w:r>
              <w:rPr>
                <w:rFonts w:hint="default"/>
                <w:color w:val="auto"/>
                <w:szCs w:val="21"/>
                <w:u w:val="none"/>
                <w:lang w:val="en-US" w:eastAsia="zh-CN" w:bidi="ar"/>
              </w:rPr>
              <w:t>-299,967,777.32</w:t>
            </w:r>
            <w:r>
              <w:rPr>
                <w:rFonts w:hint="default" w:ascii="Times New Roman" w:hAnsi="Times New Roman" w:eastAsia="宋体" w:cs="Times New Roman"/>
                <w:i w:val="0"/>
                <w:iCs w:val="0"/>
                <w:color w:val="auto"/>
                <w:kern w:val="0"/>
                <w:sz w:val="21"/>
                <w:szCs w:val="21"/>
                <w:u w:val="none"/>
                <w:lang w:val="en-US" w:eastAsia="zh-CN" w:bidi="ar"/>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经营活动产生的现金流量净额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-38,042,141.21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152,365,775.16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14,785,839.91</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 327,234,566.40 </w:t>
            </w:r>
          </w:p>
        </w:tc>
      </w:tr>
    </w:tbl>
    <w:p>
      <w:pPr>
        <w:spacing w:before="100" w:after="100" w:line="240" w:lineRule="exact"/>
        <w:jc w:val="left"/>
        <w:rPr>
          <w:rFonts w:ascii="宋体" w:hAnsi="宋体" w:eastAsia="宋体" w:cs="宋体"/>
          <w:sz w:val="21"/>
          <w:szCs w:val="21"/>
        </w:rPr>
      </w:pPr>
      <w:r>
        <w:rPr>
          <w:rFonts w:ascii="宋体" w:hAnsi="宋体" w:eastAsia="宋体" w:cs="宋体"/>
          <w:sz w:val="21"/>
          <w:szCs w:val="21"/>
        </w:rPr>
        <w:t>上述财务指标或其加总数是否与公司已披露季度报告、半年度报告相关财务指标存在重大差异</w:t>
      </w:r>
    </w:p>
    <w:p>
      <w:pPr>
        <w:spacing w:before="100" w:after="100" w:line="240" w:lineRule="exact"/>
        <w:jc w:val="left"/>
        <w:rPr>
          <w:rFonts w:ascii="宋体" w:hAnsi="宋体" w:eastAsia="宋体" w:cs="宋体"/>
          <w:sz w:val="21"/>
          <w:szCs w:val="21"/>
        </w:rPr>
      </w:pPr>
      <w:r>
        <w:rPr>
          <w:rFonts w:ascii="宋体" w:hAnsi="宋体" w:eastAsia="宋体" w:cs="宋体"/>
          <w:sz w:val="21"/>
          <w:szCs w:val="21"/>
        </w:rPr>
        <w:t xml:space="preserve">□是 </w:t>
      </w:r>
      <w:r>
        <w:rPr>
          <w:rFonts w:ascii="宋体" w:hAnsi="宋体" w:eastAsia="宋体" w:cs="宋体"/>
          <w:sz w:val="21"/>
          <w:szCs w:val="21"/>
        </w:rPr>
        <w:sym w:font="Wingdings 2" w:char="F052"/>
      </w:r>
      <w:r>
        <w:rPr>
          <w:rFonts w:ascii="宋体" w:hAnsi="宋体" w:eastAsia="宋体" w:cs="宋体"/>
          <w:sz w:val="21"/>
          <w:szCs w:val="21"/>
        </w:rPr>
        <w:t>否</w:t>
      </w:r>
    </w:p>
    <w:p>
      <w:pPr>
        <w:keepNext/>
        <w:keepLines/>
        <w:spacing w:before="300" w:after="300" w:line="280" w:lineRule="exact"/>
        <w:jc w:val="left"/>
        <w:outlineLvl w:val="2"/>
        <w:rPr>
          <w:rFonts w:ascii="宋体" w:hAnsi="宋体" w:eastAsia="宋体" w:cs="宋体"/>
          <w:b/>
          <w:bCs/>
          <w:sz w:val="21"/>
          <w:szCs w:val="21"/>
        </w:rPr>
      </w:pPr>
      <w:bookmarkStart w:id="8" w:name="_Toc988896"/>
      <w:r>
        <w:rPr>
          <w:rFonts w:ascii="宋体" w:hAnsi="宋体" w:eastAsia="宋体" w:cs="宋体"/>
          <w:b/>
          <w:bCs/>
          <w:sz w:val="21"/>
          <w:szCs w:val="21"/>
        </w:rPr>
        <w:t>4、股本及股东情况</w:t>
      </w:r>
      <w:bookmarkEnd w:id="8"/>
    </w:p>
    <w:p>
      <w:pPr>
        <w:keepNext/>
        <w:keepLines/>
        <w:spacing w:before="300" w:after="300" w:line="280" w:lineRule="exact"/>
        <w:jc w:val="left"/>
        <w:outlineLvl w:val="3"/>
        <w:rPr>
          <w:rFonts w:ascii="宋体" w:hAnsi="宋体" w:eastAsia="宋体" w:cs="宋体"/>
          <w:b/>
          <w:bCs/>
          <w:sz w:val="21"/>
          <w:szCs w:val="21"/>
        </w:rPr>
      </w:pPr>
      <w:bookmarkStart w:id="9" w:name="_Toc988897"/>
      <w:r>
        <w:rPr>
          <w:rFonts w:ascii="宋体" w:hAnsi="宋体" w:eastAsia="宋体" w:cs="宋体"/>
          <w:b/>
          <w:bCs/>
          <w:sz w:val="21"/>
          <w:szCs w:val="21"/>
        </w:rPr>
        <w:t>（1） 普通股股东和表决权恢复的优先股股东数量及前10名股东持股情况表</w:t>
      </w:r>
      <w:bookmarkEnd w:id="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单位：股</w:t>
      </w:r>
    </w:p>
    <w:p>
      <w:pPr>
        <w:spacing w:before="100" w:after="100" w:line="240" w:lineRule="exact"/>
        <w:jc w:val="left"/>
        <w:rPr>
          <w:rFonts w:ascii="宋体" w:hAnsi="宋体" w:eastAsia="宋体" w:cs="宋体"/>
          <w:sz w:val="21"/>
          <w:szCs w:val="21"/>
        </w:rPr>
      </w:pP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报告期末普通股股东总数</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42,053</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年度报告披露日前上一月末普通股股东总数</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lang w:val="en-US" w:eastAsia="zh-CN"/>
              </w:rPr>
            </w:pPr>
            <w:r>
              <w:rPr>
                <w:rFonts w:hint="eastAsia" w:cs="Times New Roman"/>
                <w:sz w:val="21"/>
                <w:szCs w:val="21"/>
                <w:lang w:val="en-US" w:eastAsia="zh-CN"/>
              </w:rPr>
              <w:t>42,071</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报告期末表决权恢复的优先股股东总数</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年度报告披露日前上一月末表决权恢复的优先股股东总数</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持股5%以上的股东或前10名股东持股情况（不含通过转融通出借股份）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股东名称</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股东性质</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持股比例</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报告期末持股数量</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报告期内增减变动情况</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持有有限售条件的股份数量</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持有无限售条件的股份数量</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sz w:val="21"/>
                <w:szCs w:val="21"/>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股份状态</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中广核核技术应用有限公司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28.67%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271,070,498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r>
              <w:rPr>
                <w:rFonts w:hint="eastAsia" w:cs="Times New Roman"/>
                <w:sz w:val="21"/>
                <w:szCs w:val="21"/>
                <w:lang w:val="en-US" w:eastAsia="zh-CN"/>
              </w:rPr>
              <w:t>,</w:t>
            </w:r>
            <w:r>
              <w:rPr>
                <w:rFonts w:hint="default" w:ascii="Times New Roman" w:hAnsi="Times New Roman" w:eastAsia="宋体" w:cs="Times New Roman"/>
                <w:sz w:val="21"/>
                <w:szCs w:val="21"/>
              </w:rPr>
              <w:t>158</w:t>
            </w:r>
            <w:r>
              <w:rPr>
                <w:rFonts w:hint="eastAsia" w:cs="Times New Roman"/>
                <w:sz w:val="21"/>
                <w:szCs w:val="21"/>
                <w:lang w:val="en-US" w:eastAsia="zh-CN"/>
              </w:rPr>
              <w:t>,</w:t>
            </w:r>
            <w:r>
              <w:rPr>
                <w:rFonts w:hint="default" w:ascii="Times New Roman" w:hAnsi="Times New Roman" w:eastAsia="宋体" w:cs="Times New Roman"/>
                <w:sz w:val="21"/>
                <w:szCs w:val="21"/>
              </w:rPr>
              <w:t>526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28,558,024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242,512,474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中国大连国际经济技术合作集团有限公司</w:t>
            </w:r>
          </w:p>
        </w:tc>
        <w:tc>
          <w:tcPr>
            <w:tcW w:w="1071" w:type="dxa"/>
            <w:vMerge w:val="restart"/>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境内非国有法人</w:t>
            </w:r>
          </w:p>
        </w:tc>
        <w:tc>
          <w:tcPr>
            <w:tcW w:w="1071" w:type="dxa"/>
            <w:vMerge w:val="restart"/>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12.58%</w:t>
            </w:r>
          </w:p>
        </w:tc>
        <w:tc>
          <w:tcPr>
            <w:tcW w:w="1071" w:type="dxa"/>
            <w:vMerge w:val="restart"/>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118,914,273</w:t>
            </w:r>
          </w:p>
        </w:tc>
        <w:tc>
          <w:tcPr>
            <w:tcW w:w="1071" w:type="dxa"/>
            <w:vMerge w:val="restart"/>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71" w:type="dxa"/>
            <w:vMerge w:val="restart"/>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62,141,491</w:t>
            </w:r>
          </w:p>
        </w:tc>
        <w:tc>
          <w:tcPr>
            <w:tcW w:w="1071" w:type="dxa"/>
            <w:vMerge w:val="restart"/>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56,772,782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118,914,273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中国大连国际经济技术合作集团有限公司</w:t>
            </w:r>
          </w:p>
        </w:tc>
        <w:tc>
          <w:tcPr>
            <w:tcW w:w="1071"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境内非国有法人</w:t>
            </w:r>
          </w:p>
        </w:tc>
        <w:tc>
          <w:tcPr>
            <w:tcW w:w="1071"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12.58%</w:t>
            </w:r>
          </w:p>
        </w:tc>
        <w:tc>
          <w:tcPr>
            <w:tcW w:w="1071"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118,914,273</w:t>
            </w:r>
          </w:p>
        </w:tc>
        <w:tc>
          <w:tcPr>
            <w:tcW w:w="1071"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71"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62,141,491</w:t>
            </w:r>
          </w:p>
        </w:tc>
        <w:tc>
          <w:tcPr>
            <w:tcW w:w="1071" w:type="dxa"/>
            <w:vMerge w:val="continue"/>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56,772,782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冻结</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118,527,046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陈晓敏</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41,009,063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11,469,623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29,539,440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芜湖渝宾投资中心（有限合伙）</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境内非国有法人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14,340,344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14,340,344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江苏达胜热缩材料有限公司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境内非国有法人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13,195,750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eastAsia" w:cs="Times New Roman"/>
                <w:sz w:val="21"/>
                <w:szCs w:val="21"/>
                <w:lang w:val="en-US" w:eastAsia="zh-CN"/>
              </w:rPr>
              <w:t>,</w:t>
            </w:r>
            <w:r>
              <w:rPr>
                <w:rFonts w:hint="default" w:ascii="Times New Roman" w:hAnsi="Times New Roman" w:eastAsia="宋体" w:cs="Times New Roman"/>
                <w:sz w:val="21"/>
                <w:szCs w:val="21"/>
              </w:rPr>
              <w:t>395</w:t>
            </w:r>
            <w:r>
              <w:rPr>
                <w:rFonts w:hint="eastAsia" w:cs="Times New Roman"/>
                <w:sz w:val="21"/>
                <w:szCs w:val="21"/>
                <w:lang w:val="en-US" w:eastAsia="zh-CN"/>
              </w:rPr>
              <w:t>,</w:t>
            </w:r>
            <w:r>
              <w:rPr>
                <w:rFonts w:hint="default" w:ascii="Times New Roman" w:hAnsi="Times New Roman" w:eastAsia="宋体" w:cs="Times New Roman"/>
                <w:sz w:val="21"/>
                <w:szCs w:val="21"/>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8,795,375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4,400,375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中广核资本控股有限公司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12,557,084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12,557,084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香港中央结算有限公司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境外法人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9,531,147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87</w:t>
            </w:r>
            <w:r>
              <w:rPr>
                <w:rFonts w:hint="eastAsia" w:cs="Times New Roman"/>
                <w:sz w:val="21"/>
                <w:szCs w:val="21"/>
                <w:lang w:val="en-US" w:eastAsia="zh-CN"/>
              </w:rPr>
              <w:t>,</w:t>
            </w:r>
            <w:r>
              <w:rPr>
                <w:rFonts w:hint="default" w:ascii="Times New Roman" w:hAnsi="Times New Roman" w:eastAsia="宋体" w:cs="Times New Roman"/>
                <w:sz w:val="21"/>
                <w:szCs w:val="21"/>
              </w:rPr>
              <w:t>261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9,531,147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单永东</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6,459,077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cs="Times New Roman"/>
                <w:sz w:val="21"/>
                <w:szCs w:val="21"/>
                <w:lang w:val="en-US" w:eastAsia="zh-CN"/>
              </w:rPr>
              <w:t>,</w:t>
            </w:r>
            <w:r>
              <w:rPr>
                <w:rFonts w:hint="default" w:ascii="Times New Roman" w:hAnsi="Times New Roman" w:eastAsia="宋体" w:cs="Times New Roman"/>
                <w:sz w:val="21"/>
                <w:szCs w:val="21"/>
              </w:rPr>
              <w:t>673</w:t>
            </w:r>
            <w:r>
              <w:rPr>
                <w:rFonts w:hint="eastAsia" w:cs="Times New Roman"/>
                <w:sz w:val="21"/>
                <w:szCs w:val="21"/>
                <w:lang w:val="en-US" w:eastAsia="zh-CN"/>
              </w:rPr>
              <w:t>,</w:t>
            </w:r>
            <w:r>
              <w:rPr>
                <w:rFonts w:hint="default" w:ascii="Times New Roman" w:hAnsi="Times New Roman" w:eastAsia="宋体" w:cs="Times New Roman"/>
                <w:sz w:val="21"/>
                <w:szCs w:val="21"/>
              </w:rPr>
              <w:t>700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3,735,827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2,723,250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魏建良</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6,226,378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6,226,378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吴翰</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-800</w:t>
            </w:r>
            <w:r>
              <w:rPr>
                <w:rFonts w:hint="eastAsia" w:cs="Times New Roman"/>
                <w:sz w:val="21"/>
                <w:szCs w:val="21"/>
                <w:lang w:val="en-US" w:eastAsia="zh-CN"/>
              </w:rPr>
              <w:t>,</w:t>
            </w:r>
            <w:r>
              <w:rPr>
                <w:rFonts w:hint="default" w:ascii="Times New Roman" w:hAnsi="Times New Roman" w:eastAsia="宋体" w:cs="Times New Roman"/>
                <w:sz w:val="21"/>
                <w:szCs w:val="21"/>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战略投资者或一般法人因配售新股成为前10名股东的情况</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上述股东关联关系或一致行动的说明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截至2024年12月31日，中广核资本系控股股东中广核核技术一致行动人。公司未知其他前10名普通股股东之间是否存在关联关系或一致行动人的情形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上述股东涉及委托/受托表决权、放弃表决权情况的说明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前10名股东中存在回购专户的特别说明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r>
    </w:tbl>
    <w:p>
      <w:pPr>
        <w:spacing w:before="100" w:after="100" w:line="240" w:lineRule="exact"/>
        <w:jc w:val="left"/>
        <w:rPr>
          <w:rFonts w:ascii="宋体" w:hAnsi="宋体" w:eastAsia="宋体" w:cs="宋体"/>
          <w:sz w:val="21"/>
          <w:szCs w:val="21"/>
        </w:rPr>
      </w:pPr>
      <w:r>
        <w:rPr>
          <w:rFonts w:ascii="宋体" w:hAnsi="宋体" w:eastAsia="宋体" w:cs="宋体"/>
          <w:sz w:val="21"/>
          <w:szCs w:val="21"/>
        </w:rPr>
        <w:t>持股5%以上股东、前10名股东及前10名无限售流通股股东参与转融通业务出借股份情况</w:t>
      </w:r>
    </w:p>
    <w:p>
      <w:pPr>
        <w:spacing w:before="0" w:after="0" w:line="240" w:lineRule="exact"/>
        <w:jc w:val="left"/>
        <w:rPr>
          <w:rFonts w:ascii="宋体" w:hAnsi="宋体" w:eastAsia="宋体" w:cs="宋体"/>
          <w:sz w:val="21"/>
          <w:szCs w:val="21"/>
        </w:rPr>
      </w:pPr>
      <w:r>
        <w:rPr>
          <w:rFonts w:ascii="宋体" w:hAnsi="宋体" w:eastAsia="宋体" w:cs="宋体"/>
          <w:sz w:val="21"/>
          <w:szCs w:val="21"/>
        </w:rPr>
        <w:t xml:space="preserve">□适用 </w:t>
      </w:r>
      <w:r>
        <w:rPr>
          <w:rFonts w:ascii="宋体" w:hAnsi="宋体" w:eastAsia="宋体" w:cs="宋体"/>
          <w:sz w:val="21"/>
          <w:szCs w:val="21"/>
        </w:rPr>
        <w:sym w:font="Wingdings 2" w:char="F052"/>
      </w:r>
      <w:r>
        <w:rPr>
          <w:rFonts w:ascii="宋体" w:hAnsi="宋体" w:eastAsia="宋体" w:cs="宋体"/>
          <w:sz w:val="21"/>
          <w:szCs w:val="21"/>
        </w:rPr>
        <w:t>不适用</w:t>
      </w:r>
    </w:p>
    <w:p>
      <w:pPr>
        <w:spacing w:before="100" w:after="100" w:line="240" w:lineRule="exact"/>
        <w:jc w:val="left"/>
        <w:rPr>
          <w:rFonts w:ascii="宋体" w:hAnsi="宋体" w:eastAsia="宋体" w:cs="宋体"/>
          <w:sz w:val="21"/>
          <w:szCs w:val="21"/>
        </w:rPr>
      </w:pPr>
      <w:r>
        <w:rPr>
          <w:rFonts w:ascii="宋体" w:hAnsi="宋体" w:eastAsia="宋体" w:cs="宋体"/>
          <w:sz w:val="21"/>
          <w:szCs w:val="21"/>
        </w:rPr>
        <w:t>前10名股东及前10名无限售流通股股东因转融通出借/归还原因导致较上期发生变化</w:t>
      </w:r>
    </w:p>
    <w:p>
      <w:pPr>
        <w:spacing w:before="0" w:after="0" w:line="240" w:lineRule="exact"/>
        <w:jc w:val="left"/>
        <w:rPr>
          <w:rFonts w:ascii="宋体" w:hAnsi="宋体" w:eastAsia="宋体" w:cs="宋体"/>
          <w:sz w:val="21"/>
          <w:szCs w:val="21"/>
        </w:rPr>
      </w:pPr>
      <w:r>
        <w:rPr>
          <w:rFonts w:ascii="宋体" w:hAnsi="宋体" w:eastAsia="宋体" w:cs="宋体"/>
          <w:sz w:val="21"/>
          <w:szCs w:val="21"/>
        </w:rPr>
        <w:t xml:space="preserve">□适用 </w:t>
      </w:r>
      <w:r>
        <w:rPr>
          <w:rFonts w:ascii="宋体" w:hAnsi="宋体" w:eastAsia="宋体" w:cs="宋体"/>
          <w:sz w:val="21"/>
          <w:szCs w:val="21"/>
        </w:rPr>
        <w:sym w:font="Wingdings 2" w:char="F052"/>
      </w:r>
      <w:r>
        <w:rPr>
          <w:rFonts w:ascii="宋体" w:hAnsi="宋体" w:eastAsia="宋体" w:cs="宋体"/>
          <w:sz w:val="21"/>
          <w:szCs w:val="21"/>
        </w:rPr>
        <w:t>不适用</w:t>
      </w:r>
    </w:p>
    <w:p>
      <w:pPr>
        <w:keepNext/>
        <w:keepLines/>
        <w:spacing w:before="300" w:after="300" w:line="280" w:lineRule="exact"/>
        <w:jc w:val="left"/>
        <w:outlineLvl w:val="3"/>
        <w:rPr>
          <w:rFonts w:ascii="宋体" w:hAnsi="宋体" w:eastAsia="宋体" w:cs="宋体"/>
          <w:b/>
          <w:bCs/>
          <w:sz w:val="21"/>
          <w:szCs w:val="21"/>
        </w:rPr>
      </w:pPr>
      <w:bookmarkStart w:id="10" w:name="_Toc988898"/>
      <w:r>
        <w:rPr>
          <w:rFonts w:ascii="宋体" w:hAnsi="宋体" w:eastAsia="宋体" w:cs="宋体"/>
          <w:b/>
          <w:bCs/>
          <w:sz w:val="21"/>
          <w:szCs w:val="21"/>
        </w:rPr>
        <w:t>（2） 公司优先股股东总数及前10名优先股股东持股情况表</w:t>
      </w:r>
      <w:bookmarkEnd w:id="10"/>
    </w:p>
    <w:p>
      <w:pPr>
        <w:spacing w:before="40" w:after="40" w:line="240" w:lineRule="exact"/>
        <w:jc w:val="left"/>
        <w:rPr>
          <w:rFonts w:ascii="宋体" w:hAnsi="宋体" w:eastAsia="宋体" w:cs="宋体"/>
          <w:sz w:val="21"/>
          <w:szCs w:val="21"/>
        </w:rPr>
      </w:pPr>
      <w:r>
        <w:rPr>
          <w:rFonts w:ascii="宋体" w:hAnsi="宋体" w:eastAsia="宋体" w:cs="宋体"/>
          <w:sz w:val="21"/>
          <w:szCs w:val="21"/>
        </w:rPr>
        <w:t xml:space="preserve">□适用 </w:t>
      </w:r>
      <w:r>
        <w:rPr>
          <w:rFonts w:ascii="宋体" w:hAnsi="宋体" w:eastAsia="宋体" w:cs="宋体"/>
          <w:sz w:val="21"/>
          <w:szCs w:val="21"/>
        </w:rPr>
        <w:sym w:font="Wingdings 2" w:char="F052"/>
      </w:r>
      <w:r>
        <w:rPr>
          <w:rFonts w:ascii="宋体" w:hAnsi="宋体" w:eastAsia="宋体" w:cs="宋体"/>
          <w:sz w:val="21"/>
          <w:szCs w:val="21"/>
        </w:rPr>
        <w:t>不适用</w:t>
      </w:r>
    </w:p>
    <w:p>
      <w:pPr>
        <w:spacing w:before="100" w:after="100" w:line="240" w:lineRule="exact"/>
        <w:jc w:val="left"/>
        <w:rPr>
          <w:rFonts w:ascii="宋体" w:hAnsi="宋体" w:eastAsia="宋体" w:cs="宋体"/>
          <w:sz w:val="21"/>
          <w:szCs w:val="21"/>
        </w:rPr>
      </w:pPr>
      <w:r>
        <w:rPr>
          <w:rFonts w:ascii="宋体" w:hAnsi="宋体" w:eastAsia="宋体" w:cs="宋体"/>
          <w:sz w:val="21"/>
          <w:szCs w:val="21"/>
        </w:rPr>
        <w:t>公司报告期无优先股股东持股情况。</w:t>
      </w:r>
    </w:p>
    <w:p>
      <w:pPr>
        <w:keepNext/>
        <w:keepLines/>
        <w:spacing w:before="300" w:after="300" w:line="280" w:lineRule="exact"/>
        <w:jc w:val="left"/>
        <w:outlineLvl w:val="3"/>
        <w:rPr>
          <w:rFonts w:ascii="宋体" w:hAnsi="宋体" w:eastAsia="宋体" w:cs="宋体"/>
          <w:b/>
          <w:bCs/>
          <w:sz w:val="21"/>
          <w:szCs w:val="21"/>
        </w:rPr>
      </w:pPr>
      <w:bookmarkStart w:id="11" w:name="_Toc988899"/>
      <w:r>
        <w:rPr>
          <w:rFonts w:ascii="宋体" w:hAnsi="宋体" w:eastAsia="宋体" w:cs="宋体"/>
          <w:b/>
          <w:bCs/>
          <w:sz w:val="21"/>
          <w:szCs w:val="21"/>
        </w:rPr>
        <w:t>（3） 以方框图形式披露公司与实际控制人之间的产权及控制关系</w:t>
      </w:r>
      <w:bookmarkEnd w:id="11"/>
    </w:p>
    <w:p>
      <w:pPr>
        <w:spacing w:before="40" w:after="40" w:line="0" w:lineRule="exact"/>
        <w:rPr>
          <w:rFonts w:ascii="Times New Roman" w:hAnsi="Times New Roman" w:eastAsia="宋体" w:cs="Times New Roman"/>
        </w:rPr>
      </w:pPr>
      <w:r>
        <w:rPr>
          <w:rFonts w:ascii="Times New Roman" w:hAnsi="Times New Roman" w:eastAsia="宋体" w:cs="Times New Roman"/>
        </w:rPr>
        <w:drawing>
          <wp:inline distT="0" distB="0" distL="0" distR="0">
            <wp:extent cx="4800600" cy="2461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stretch>
                      <a:fillRect/>
                    </a:stretch>
                  </pic:blipFill>
                  <pic:spPr>
                    <a:xfrm>
                      <a:off x="0" y="0"/>
                      <a:ext cx="4800600" cy="2462212"/>
                    </a:xfrm>
                    <a:prstGeom prst="rect">
                      <a:avLst/>
                    </a:prstGeom>
                  </pic:spPr>
                </pic:pic>
              </a:graphicData>
            </a:graphic>
          </wp:inline>
        </w:drawing>
      </w:r>
    </w:p>
    <w:p>
      <w:pPr>
        <w:keepNext/>
        <w:keepLines/>
        <w:spacing w:before="300" w:after="300" w:line="280" w:lineRule="exact"/>
        <w:jc w:val="left"/>
        <w:outlineLvl w:val="2"/>
        <w:rPr>
          <w:rFonts w:ascii="宋体" w:hAnsi="宋体" w:eastAsia="宋体" w:cs="宋体"/>
          <w:b/>
          <w:bCs/>
          <w:sz w:val="21"/>
          <w:szCs w:val="21"/>
        </w:rPr>
      </w:pPr>
      <w:bookmarkStart w:id="12" w:name="_Toc988900"/>
      <w:r>
        <w:rPr>
          <w:rFonts w:ascii="宋体" w:hAnsi="宋体" w:eastAsia="宋体" w:cs="宋体"/>
          <w:b/>
          <w:bCs/>
          <w:sz w:val="21"/>
          <w:szCs w:val="21"/>
        </w:rPr>
        <w:t>5、在年度报告批准报出日存续的债券情况</w:t>
      </w:r>
      <w:bookmarkEnd w:id="12"/>
    </w:p>
    <w:p>
      <w:pPr>
        <w:spacing w:before="100" w:after="100" w:line="240" w:lineRule="exact"/>
        <w:jc w:val="left"/>
        <w:rPr>
          <w:rFonts w:ascii="宋体" w:hAnsi="宋体" w:eastAsia="宋体" w:cs="宋体"/>
          <w:sz w:val="21"/>
          <w:szCs w:val="21"/>
        </w:rPr>
      </w:pPr>
      <w:r>
        <w:rPr>
          <w:rFonts w:ascii="宋体" w:hAnsi="宋体" w:eastAsia="宋体" w:cs="宋体"/>
          <w:sz w:val="21"/>
          <w:szCs w:val="21"/>
        </w:rPr>
        <w:t xml:space="preserve">□适用 </w:t>
      </w:r>
      <w:r>
        <w:rPr>
          <w:rFonts w:ascii="宋体" w:hAnsi="宋体" w:eastAsia="宋体" w:cs="宋体"/>
          <w:sz w:val="21"/>
          <w:szCs w:val="21"/>
        </w:rPr>
        <w:sym w:font="Wingdings 2" w:char="F052"/>
      </w:r>
      <w:r>
        <w:rPr>
          <w:rFonts w:ascii="宋体" w:hAnsi="宋体" w:eastAsia="宋体" w:cs="宋体"/>
          <w:sz w:val="21"/>
          <w:szCs w:val="21"/>
        </w:rPr>
        <w:t>不适用</w:t>
      </w:r>
    </w:p>
    <w:p>
      <w:pPr>
        <w:keepNext/>
        <w:keepLines/>
        <w:spacing w:before="300" w:after="300" w:line="320" w:lineRule="exact"/>
        <w:jc w:val="left"/>
        <w:outlineLvl w:val="1"/>
        <w:rPr>
          <w:rFonts w:ascii="宋体" w:hAnsi="宋体" w:eastAsia="宋体" w:cs="宋体"/>
          <w:b/>
          <w:bCs/>
          <w:sz w:val="24"/>
          <w:szCs w:val="24"/>
        </w:rPr>
      </w:pPr>
      <w:bookmarkStart w:id="13" w:name="_Toc988901"/>
      <w:r>
        <w:rPr>
          <w:rFonts w:ascii="宋体" w:hAnsi="宋体" w:eastAsia="宋体" w:cs="宋体"/>
          <w:b/>
          <w:bCs/>
          <w:sz w:val="24"/>
          <w:szCs w:val="24"/>
        </w:rPr>
        <w:t>三、重要事项</w:t>
      </w:r>
      <w:bookmarkEnd w:id="13"/>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2024年，是公司打基础利长远，夯实发展根基的关键一年。全体干部员工保持“A+”战略定力，坚持“稳中求进、以进促稳”工作总基调，深入践行“严慎细实”工作作风，坚持抓公司经营发展，顶住外部压力、克服内部困难，夯实发展根基。受多方面因素影响，2024年公司经营业绩承压，实现营业收入61.68亿元，归属于上市公司股东的净利润-3.62亿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电子加速器研发与制造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公司下属达胜公司是集电子加速器研发制造、应用、服务于一体的专业化公司，是公司践行A+战略的重要平台。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2024年，达胜公司聚焦培育新质生产力推动产业高质量发展，在电子加速器市场，面对国内外市场竞争激烈的形势，加速器销售再创新高，海外加速器签单14台，首次出口欧盟市场；售后收入同比2023年增加12.95%。公司成功研制了国内首台S波段10MeV/32kW大功率工业辐照电子加速器；“高频高压加速器固态电源技术”取得突破，成功将电源转化效率显著提升；5MeV+X大功率转靶研发工作稳步推进；固态调制器首次应用。达胜公司保持国内传统应用场景的加速器销售总量的基础上，在“三新”市场（指新行业市场、新项目市场、新产品市场）也取得销售突破，其中DZ电子加速器在育种领域首次应用；120keV电子帘加速器顺利完成研发和产业化推广，有力支撑了公司未来电子加速器的增量市场拓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电子束处理特种废物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随着国内政策逐步加大生态环境保护、清洁生产、环境基础设施建设、资源利用、减污减排等领域的推进力度，对利用电子束处理特种废物的行业发展将起到积极推动作用。公司旗下子公司达胜科技，是一家拥有环保及市政设计乙级资质、环保承包贰级资质、机电及市政承包二级资质、水污染治理甲级资质、大气污染治理丙级资质、环保运营二级资质，集环境工程和环保设备的研究开发、生产制造、工程设计、工程管理、总承包、投资运营和咨询服务于一体的综合性科技公司，是公司打造电子束处理特种废物业务的重要平台。项目建设方面，公司早期在十大应用领域的示范项目已陆续建成并正式交付，为进一步加快推广应用创造了良好的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辐照加工服务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公司下属辐照技术公司主要开展辐照加工业务，目前在国内拥有辐照中心18座，在运电子加速器62台，总功率超过5,160千瓦；在业务布局上，以长三角、珠三角地区为中心，向周边地区拓展，形成了华南、华中、华东、华北、西南等区域运营中心布局，完成了业务战略卡位，为公司辐照加工业务的后续稳定发展打下坚实基础。公司重点提供医疗保健产品、卫生材料、医疗器械、药品包装、食品及宠物饲料等消毒灭菌、保鲜加工服务，以及电线电缆、片材、热缩材料、半导体等辐照材料改性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报告期内，公司扩大了华中地区产业规模，完成宁乡二期和平江项目建设投运；强化市场开发和区域业务协同，全年新增客户630余家，累计新客户销售收入近1,610万元；公司新投运的长沙二期项目从投产到80%开机率仅用了15天；平江项目在试运行阶段仅用32天实现开机率突破80%；公司与西藏甘露医药科技有限责任公司在拉萨合资设立西藏中广核甘露科技有限责任公司，注册资本4081.63万人民币，合作建设高原综合灭菌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新材料研发与制造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高新核材、俊尔公司是公司发展新材料业务的两大平台，涵盖七大板块，各类产品近百种，共2000多个牌号，下游应用覆盖多个领域。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2024年，公司全面推进新材料业务的转型升级，积极调整新材料业务的产品结构。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高新核材生产的聚丙烯绝缘料产品已实现多种用途，覆盖多种电压等级，8.7/15kV中压聚丙烯绝缘电缆已在南方电网安全并网运行1年；26/35kV海缆用聚丙烯绝缘料已安全运行1年；公司正在进行中高压设备用往复机螺杆改造，将增加聚丙烯绝缘料（PP）工艺性能。尼龙线缆料月均销售量提升2倍至150吨；阻燃PE和31247电缆料全年销量保持持续增长，分别同比增长66%和31%。35KV化学交联料首次实现自主批量生产，实现销售超过3600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俊尔公司主营产品在电表行业、电动工具行业、汽车行业均实现出色的市场成绩；通过深挖电子电器与传统燃油汽车存量市场增量业务，成功开发战略大客户，实现销售增量近万吨；成为罗格朗低压电器领域主流供应商，并实现批量供应；成功导入施耐德低压电器PCR项目，并顺利通过供应商资格准入和工厂审核，为未来公司在PCR领域的深入合作奠定了坚实基础。增量市场开发更上新台阶，实现销量同比增幅43.8%，其中低速出行业务实现销量突破两万吨，同比增长128%；高性能纤维及其复合材料实现规模量产，光伏背板材料实现3家客户批量，全年销量突破10万片，创下历史新高，为公司带来增量和新的利润增长点；智能卫浴业务与全球知名品牌松下达成合作，标志着公司在智能卫浴材料市场的竞争力得到了提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医疗健康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2020年公司引进IBA质子治疗技术，并在四川绵阳建设质子医疗装备制造基地和医用同位素生产基地，全面推进该技术的国产化和自主化进程。医疗健康业务目前由公司下属医疗科技和同位素科技承载。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2024年是公司发展医疗健康事业的第四年，但总体仍处于产业的起步阶段，外部政策环境持续向好。国家卫健委发布的“十四五”大型医用设备配置规划，质子重离子配置规划显著增加，各地配置证申报竞争激烈。报告期内，质子产业园完成建设并投产，全面开展质子治疗系统生产、组装、测试、总装、集成等工作，顺利完成国产首台质子加速器生产下线；同位素产业园完成办公区建设并入驻使用，生产厂房完成一系列变更及审批工作，建设进展正常，预计2025年完成建设。报告期内，质子研发项目完成了质子治疗各大子系统详细设计、完成质子系统部分国产化关键部件性能测试、开展小型质子治疗系统详细设计和紧凑型质子治疗系统关键技术开发等技术攻关；顺利完成锗镓发生器项目研发任务，完成50mCi锗镓发生器样机研发，实验室测试68Ge漏穿率、68Ga淋洗效率较好；全年专利受理12项（其中发明4项），发表论文6篇，参与国家标准2项、企业标准1项。同位素药物领域，持续开展同位素贸易业务，全年实现锕-225、锗镓发生器、氧-18水以及科研用同位素等产品销售，为公司自产产品销售奠定市场基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测控装备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2023年，公司与北京师范大学新器件实验室（NDL）科研团队、北京师大合创科技平台运营集团有限公司共同设立中广核京师光电科技（天津）有限公司，致力于开展以硅光电倍增器（SiPM）技术为核心的半导体传感器等产品的研发、生产、销售及技术服务。其主流产品SiPM器件是一种新型的半导体弱光探测器，相较于传统光电倍增管（PMT）具有探测效率高、时间分辨率高、工作电压低、体积小、便于集成及高可靠性等优点，能够广泛应用</w:t>
      </w:r>
      <w:r>
        <w:rPr>
          <w:rFonts w:hint="eastAsia" w:ascii="宋体" w:hAnsi="宋体" w:cs="宋体"/>
          <w:sz w:val="21"/>
          <w:szCs w:val="21"/>
          <w:lang w:val="en-US" w:eastAsia="zh-CN"/>
        </w:rPr>
        <w:t>于</w:t>
      </w:r>
      <w:bookmarkStart w:id="14" w:name="_GoBack"/>
      <w:bookmarkEnd w:id="14"/>
      <w:r>
        <w:rPr>
          <w:rFonts w:hint="eastAsia" w:ascii="宋体" w:hAnsi="宋体" w:eastAsia="宋体" w:cs="宋体"/>
          <w:sz w:val="21"/>
          <w:szCs w:val="21"/>
        </w:rPr>
        <w:t>核医学诊疗、核辐射探测、荧光检测及前沿科学研究等领域。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2024年，公司与多家科研单位进行交流对接，初步开始SiPM在大科学装置应用的可行性测试与验证。此外，公司在分子影像领域全力开拓，与多家国产分子影像厂商就核心部件国产化进行探讨，明确技术要求方向，并就部分规格产品开展了测试。辐射探测领域成功筑基，公司顺利研发出EQR20 系列产品，微单元尺寸更大，性能更优，进一步拓宽了公司产品市场；研发出4040-SN封装产品，完成一系列针对4mm器件的工艺更新，同步进行可靠性验证和不断反馈优化，给主要目标客户群体提供了更适合的尺寸，实现更低成本的替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p>
    <w:p>
      <w:pPr>
        <w:snapToGrid w:val="0"/>
        <w:spacing w:line="360" w:lineRule="auto"/>
        <w:ind w:firstLine="480" w:firstLineChars="200"/>
        <w:jc w:val="right"/>
        <w:rPr>
          <w:rFonts w:eastAsia="宋体"/>
          <w:b/>
          <w:sz w:val="24"/>
          <w:szCs w:val="24"/>
        </w:rPr>
      </w:pPr>
      <w:r>
        <w:rPr>
          <w:rFonts w:eastAsia="宋体"/>
          <w:b/>
          <w:sz w:val="24"/>
          <w:szCs w:val="24"/>
        </w:rPr>
        <w:t>中广核核技术发展股份有限公司</w:t>
      </w:r>
    </w:p>
    <w:p>
      <w:pPr>
        <w:snapToGrid w:val="0"/>
        <w:spacing w:line="360" w:lineRule="auto"/>
        <w:ind w:firstLine="480" w:firstLineChars="200"/>
        <w:jc w:val="right"/>
        <w:rPr>
          <w:rFonts w:eastAsia="宋体"/>
          <w:b/>
          <w:sz w:val="24"/>
          <w:szCs w:val="24"/>
        </w:rPr>
      </w:pPr>
      <w:r>
        <w:rPr>
          <w:rFonts w:eastAsia="宋体"/>
          <w:b/>
          <w:sz w:val="24"/>
          <w:szCs w:val="24"/>
        </w:rPr>
        <w:t>董事会</w:t>
      </w:r>
    </w:p>
    <w:p>
      <w:pPr>
        <w:snapToGrid w:val="0"/>
        <w:spacing w:line="360" w:lineRule="auto"/>
        <w:ind w:firstLine="480" w:firstLineChars="200"/>
        <w:jc w:val="right"/>
        <w:rPr>
          <w:rFonts w:hint="eastAsia"/>
          <w:b/>
          <w:sz w:val="24"/>
          <w:szCs w:val="24"/>
        </w:rPr>
      </w:pPr>
      <w:r>
        <w:rPr>
          <w:rFonts w:eastAsia="宋体"/>
          <w:b/>
          <w:sz w:val="24"/>
          <w:szCs w:val="24"/>
        </w:rPr>
        <w:t>202</w:t>
      </w:r>
      <w:r>
        <w:rPr>
          <w:rFonts w:hint="eastAsia" w:eastAsia="宋体"/>
          <w:b/>
          <w:sz w:val="24"/>
          <w:szCs w:val="24"/>
          <w:lang w:val="en-US" w:eastAsia="zh-CN"/>
        </w:rPr>
        <w:t>5</w:t>
      </w:r>
      <w:r>
        <w:rPr>
          <w:rFonts w:eastAsia="宋体"/>
          <w:b/>
          <w:sz w:val="24"/>
          <w:szCs w:val="24"/>
        </w:rPr>
        <w:t>年</w:t>
      </w:r>
      <w:r>
        <w:rPr>
          <w:rFonts w:hint="eastAsia" w:eastAsia="宋体"/>
          <w:b/>
          <w:sz w:val="24"/>
          <w:szCs w:val="24"/>
          <w:lang w:val="en-US" w:eastAsia="zh-CN"/>
        </w:rPr>
        <w:t>4</w:t>
      </w:r>
      <w:r>
        <w:rPr>
          <w:rFonts w:eastAsia="宋体"/>
          <w:b/>
          <w:sz w:val="24"/>
          <w:szCs w:val="24"/>
        </w:rPr>
        <w:t>月</w:t>
      </w:r>
      <w:r>
        <w:rPr>
          <w:rFonts w:hint="eastAsia" w:eastAsia="宋体"/>
          <w:b/>
          <w:sz w:val="24"/>
          <w:szCs w:val="24"/>
          <w:lang w:val="en-US" w:eastAsia="zh-CN"/>
        </w:rPr>
        <w:t>29</w:t>
      </w:r>
      <w:r>
        <w:rPr>
          <w:rFonts w:eastAsia="宋体"/>
          <w:b/>
          <w:sz w:val="24"/>
          <w:szCs w:val="24"/>
        </w:rPr>
        <w:t>日</w:t>
      </w:r>
    </w:p>
    <w:sectPr>
      <w:headerReference r:id="rId3" w:type="default"/>
      <w:footerReference r:id="rId4" w:type="default"/>
      <w:pgSz w:w="11905" w:h="16840"/>
      <w:pgMar w:top="850" w:right="1134" w:bottom="85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rPr>
      <w:t>1</w:t>
    </w:r>
    <w:r>
      <w:rPr>
        <w:rFonts w:ascii="仿宋" w:eastAsia="仿宋"/>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pPr>
    <w:r>
      <w:rPr>
        <w:rFonts w:ascii="宋体" w:eastAsia="宋体"/>
        <w:sz w:val="18"/>
        <w:szCs w:val="18"/>
      </w:rPr>
      <w:t>中广核核技术发展股份有限公司2024年年度报告摘要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doNotExpandShiftReturn/>
    <w:useFELayout/>
    <w:compatSetting w:name="compatibilityMode" w:uri="http://schemas.microsoft.com/office/word" w:val="14"/>
  </w:compat>
  <w:rsids>
    <w:rsidRoot w:val="00000000"/>
    <w:rsid w:val="04810D96"/>
    <w:rsid w:val="286F1709"/>
    <w:rsid w:val="2E7E2C78"/>
    <w:rsid w:val="3C0F6602"/>
    <w:rsid w:val="4C605102"/>
    <w:rsid w:val="4E585187"/>
    <w:rsid w:val="5B911E80"/>
    <w:rsid w:val="6E64700F"/>
    <w:rsid w:val="737B72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标准）"/>
    <w:basedOn w:val="1"/>
    <w:next w:val="1"/>
    <w:semiHidden/>
    <w:qFormat/>
    <w:uiPriority w:val="0"/>
    <w:pPr>
      <w:ind w:firstLine="525"/>
    </w:pPr>
    <w:rPr>
      <w:rFonts w:ascii="宋体" w:hAnsi="宋体"/>
    </w:rPr>
  </w:style>
  <w:style w:type="paragraph" w:styleId="3">
    <w:name w:val="table of figures"/>
    <w:basedOn w:val="1"/>
    <w:next w:val="1"/>
    <w:qFormat/>
    <w:uiPriority w:val="0"/>
    <w:pPr>
      <w:widowControl w:val="0"/>
      <w:spacing w:line="360" w:lineRule="auto"/>
      <w:ind w:left="200" w:leftChars="200" w:hanging="200" w:hangingChars="200"/>
      <w:jc w:val="both"/>
    </w:pPr>
    <w:rPr>
      <w:rFonts w:ascii="仿宋_GB2312" w:hAnsi="仿宋_GB2312" w:eastAsia="仿宋_GB2312" w:cs="Times New Roman"/>
      <w:snapToGrid w:val="0"/>
      <w:kern w:val="2"/>
      <w:sz w:val="36"/>
      <w:szCs w:val="2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TotalTime>0</TotalTime>
  <ScaleCrop>false</ScaleCrop>
  <LinksUpToDate>false</LinksUpToDate>
  <Application>WPS Office_11.8.2.12309_F1E327BC-269C-435d-A152-05C5408002CA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2025-04-23T08:16:00Z</dcterms:created>
  <dc:creator>P194919</dc:creator>
  <cp:lastModifiedBy>P194919</cp:lastModifiedBy>
  <dcterms:modified xsi:type="dcterms:W3CDTF">2025-04-27T14:03:45Z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1D3DC9B204B743D397928C91BBE0F749</vt:lpwstr>
  </property>
</Properties>
</file>